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A59F9" w14:textId="5871268A" w:rsidR="00A06963" w:rsidRDefault="0001301F">
      <w:r>
        <w:rPr>
          <w:noProof/>
        </w:rPr>
        <w:drawing>
          <wp:anchor distT="0" distB="0" distL="114300" distR="114300" simplePos="0" relativeHeight="251659264" behindDoc="0" locked="0" layoutInCell="1" allowOverlap="1" wp14:anchorId="5E4F0616" wp14:editId="7AC1EBFD">
            <wp:simplePos x="0" y="0"/>
            <wp:positionH relativeFrom="column">
              <wp:posOffset>4280664</wp:posOffset>
            </wp:positionH>
            <wp:positionV relativeFrom="paragraph">
              <wp:posOffset>-639089</wp:posOffset>
            </wp:positionV>
            <wp:extent cx="2277984" cy="1352699"/>
            <wp:effectExtent l="0" t="0" r="65405" b="76200"/>
            <wp:wrapNone/>
            <wp:docPr id="579529016" name="Picture 2" descr="A logo of a person in a hat and a cross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529016" name="Picture 2" descr="A logo of a person in a hat and a crosshai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7984" cy="1352699"/>
                    </a:xfrm>
                    <a:prstGeom prst="rect">
                      <a:avLst/>
                    </a:prstGeom>
                    <a:effectLst>
                      <a:outerShdw blurRad="50800" dist="50800" dir="2700000" sx="97000" sy="97000" algn="ctr" rotWithShape="0">
                        <a:schemeClr val="tx1"/>
                      </a:outerShdw>
                    </a:effectLst>
                  </pic:spPr>
                </pic:pic>
              </a:graphicData>
            </a:graphic>
            <wp14:sizeRelH relativeFrom="margin">
              <wp14:pctWidth>0</wp14:pctWidth>
            </wp14:sizeRelH>
            <wp14:sizeRelV relativeFrom="margin">
              <wp14:pctHeight>0</wp14:pctHeight>
            </wp14:sizeRelV>
          </wp:anchor>
        </w:drawing>
      </w:r>
      <w:r w:rsidR="00A07056">
        <w:rPr>
          <w:noProof/>
        </w:rPr>
        <w:drawing>
          <wp:anchor distT="0" distB="0" distL="114300" distR="114300" simplePos="0" relativeHeight="251658240" behindDoc="0" locked="0" layoutInCell="1" allowOverlap="1" wp14:anchorId="4E2A1751" wp14:editId="3A134D88">
            <wp:simplePos x="0" y="0"/>
            <wp:positionH relativeFrom="page">
              <wp:posOffset>0</wp:posOffset>
            </wp:positionH>
            <wp:positionV relativeFrom="paragraph">
              <wp:posOffset>-910590</wp:posOffset>
            </wp:positionV>
            <wp:extent cx="7768590" cy="4368165"/>
            <wp:effectExtent l="0" t="0" r="3810" b="0"/>
            <wp:wrapNone/>
            <wp:docPr id="1127228267" name="Picture 1" descr="A person wearing a heads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228267" name="Picture 1" descr="A person wearing a headse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68590" cy="4368165"/>
                    </a:xfrm>
                    <a:prstGeom prst="rect">
                      <a:avLst/>
                    </a:prstGeom>
                  </pic:spPr>
                </pic:pic>
              </a:graphicData>
            </a:graphic>
            <wp14:sizeRelH relativeFrom="margin">
              <wp14:pctWidth>0</wp14:pctWidth>
            </wp14:sizeRelH>
            <wp14:sizeRelV relativeFrom="margin">
              <wp14:pctHeight>0</wp14:pctHeight>
            </wp14:sizeRelV>
          </wp:anchor>
        </w:drawing>
      </w:r>
    </w:p>
    <w:p w14:paraId="0E04A05D" w14:textId="1C7E69AF" w:rsidR="00515A04" w:rsidRDefault="00515A04"/>
    <w:p w14:paraId="32601B77" w14:textId="1081C778" w:rsidR="00515A04" w:rsidRDefault="00515A04"/>
    <w:p w14:paraId="270C8750" w14:textId="1FD642ED" w:rsidR="00515A04" w:rsidRDefault="00515A04"/>
    <w:p w14:paraId="3FA34454" w14:textId="082B8799" w:rsidR="00515A04" w:rsidRDefault="00515A04"/>
    <w:p w14:paraId="780315B7" w14:textId="714A3CAA" w:rsidR="00515A04" w:rsidRDefault="00515A04"/>
    <w:p w14:paraId="25EFF722" w14:textId="03072131" w:rsidR="00515A04" w:rsidRDefault="00515A04"/>
    <w:p w14:paraId="51C29697" w14:textId="58BFB31B" w:rsidR="00515A04" w:rsidRDefault="00515A04"/>
    <w:p w14:paraId="0147BAD9" w14:textId="19BD430D" w:rsidR="00515A04" w:rsidRDefault="00515A04"/>
    <w:p w14:paraId="6EB7F081" w14:textId="30329287" w:rsidR="00515A04" w:rsidRDefault="00515A04"/>
    <w:p w14:paraId="0BE55C10" w14:textId="77777777" w:rsidR="00515A04" w:rsidRDefault="00515A04"/>
    <w:p w14:paraId="7E734C3B" w14:textId="1A0CFFFE" w:rsidR="00515A04" w:rsidRDefault="00515A04"/>
    <w:p w14:paraId="4B0EC3E2" w14:textId="77777777" w:rsidR="004E3289" w:rsidRDefault="004E3289" w:rsidP="00242147">
      <w:pPr>
        <w:spacing w:after="0" w:line="240" w:lineRule="auto"/>
        <w:jc w:val="center"/>
        <w:rPr>
          <w:b/>
          <w:bCs/>
          <w:sz w:val="72"/>
          <w:szCs w:val="72"/>
        </w:rPr>
      </w:pPr>
    </w:p>
    <w:p w14:paraId="2618262F" w14:textId="6CE93E7A" w:rsidR="0001301F" w:rsidRPr="004E3289" w:rsidRDefault="00242147" w:rsidP="00242147">
      <w:pPr>
        <w:spacing w:after="0" w:line="240" w:lineRule="auto"/>
        <w:jc w:val="center"/>
        <w:rPr>
          <w:b/>
          <w:bCs/>
          <w:color w:val="003399"/>
          <w:sz w:val="88"/>
          <w:szCs w:val="88"/>
        </w:rPr>
      </w:pPr>
      <w:r w:rsidRPr="004E3289">
        <w:rPr>
          <w:b/>
          <w:bCs/>
          <w:color w:val="003399"/>
          <w:sz w:val="88"/>
          <w:szCs w:val="88"/>
        </w:rPr>
        <w:t>IR TABLETOP EXERCISE</w:t>
      </w:r>
    </w:p>
    <w:p w14:paraId="355DA899" w14:textId="7AAE548A" w:rsidR="00242147" w:rsidRPr="00142D60" w:rsidRDefault="00242147" w:rsidP="00242147">
      <w:pPr>
        <w:spacing w:after="0" w:line="240" w:lineRule="auto"/>
        <w:jc w:val="center"/>
        <w:rPr>
          <w:sz w:val="72"/>
          <w:szCs w:val="72"/>
        </w:rPr>
      </w:pPr>
      <w:r w:rsidRPr="00142D60">
        <w:rPr>
          <w:sz w:val="72"/>
          <w:szCs w:val="72"/>
        </w:rPr>
        <w:t>AFTER ACTION REPORT</w:t>
      </w:r>
    </w:p>
    <w:p w14:paraId="04561A0C" w14:textId="77777777" w:rsidR="003E3814" w:rsidRDefault="003E3814" w:rsidP="00142D60">
      <w:pPr>
        <w:spacing w:after="0" w:line="240" w:lineRule="auto"/>
        <w:rPr>
          <w:sz w:val="52"/>
          <w:szCs w:val="52"/>
        </w:rPr>
      </w:pPr>
    </w:p>
    <w:p w14:paraId="60293594" w14:textId="27CC4EED" w:rsidR="003E3814" w:rsidRDefault="003E3814" w:rsidP="00242147">
      <w:pPr>
        <w:spacing w:after="0" w:line="240" w:lineRule="auto"/>
        <w:jc w:val="center"/>
        <w:rPr>
          <w:sz w:val="56"/>
          <w:szCs w:val="56"/>
        </w:rPr>
      </w:pPr>
      <w:r w:rsidRPr="003E3814">
        <w:rPr>
          <w:sz w:val="56"/>
          <w:szCs w:val="56"/>
        </w:rPr>
        <w:t xml:space="preserve">Colonial Pipeline</w:t>
      </w:r>
      <w:r>
        <w:br/>
      </w:r>
      <w:r>
        <w:rPr>
          <w:sz w:val="56"/>
          <w:szCs w:val="56"/>
        </w:rPr>
        <w:t/>
      </w:r>
      <w:r w:rsidR="00D63A44">
        <w:rPr>
          <w:sz w:val="56"/>
          <w:szCs w:val="56"/>
        </w:rPr>
        <w:t/>
      </w:r>
    </w:p>
    <w:p w14:paraId="1B0AB529" w14:textId="267D0343" w:rsidR="003E3814" w:rsidRPr="001A2DD7" w:rsidRDefault="00155285" w:rsidP="001A2DD7">
      <w:pPr>
        <w:spacing w:after="0" w:line="240" w:lineRule="auto"/>
        <w:jc w:val="center"/>
        <w:rPr>
          <w:sz w:val="44"/>
          <w:szCs w:val="44"/>
        </w:rPr>
      </w:pPr>
      <w:r w:rsidRPr="00155285">
        <w:rPr>
          <w:sz w:val="44"/>
          <w:szCs w:val="44"/>
        </w:rPr>
        <w:t xml:space="preserve">Included departments include: Information Technology (IT)/Cybersecurity Team; Executive Leadership;	and the Legal Department</w:t>
      </w:r>
      <w:r>
        <w:br/>
      </w:r>
      <w:r>
        <w:rPr>
          <w:sz w:val="44"/>
          <w:szCs w:val="44"/>
        </w:rPr>
        <w:t/>
      </w:r>
      <w:r w:rsidR="00D63A44">
        <w:rPr>
          <w:sz w:val="44"/>
          <w:szCs w:val="44"/>
        </w:rPr>
        <w:t/>
      </w:r>
    </w:p>
    <w:p w14:paraId="6A3DAC7E" w14:textId="6ED523C6" w:rsidR="003E3814" w:rsidRDefault="003E3814" w:rsidP="00242147">
      <w:pPr>
        <w:spacing w:after="0" w:line="240" w:lineRule="auto"/>
        <w:jc w:val="center"/>
        <w:rPr>
          <w:sz w:val="40"/>
          <w:szCs w:val="40"/>
        </w:rPr>
      </w:pPr>
      <w:r w:rsidRPr="003E3814">
        <w:rPr>
          <w:sz w:val="40"/>
          <w:szCs w:val="40"/>
        </w:rPr>
        <w:t xml:space="preserve">10/07/2024</w:t>
      </w:r>
      <w:r>
        <w:br/>
      </w:r>
      <w:r>
        <w:rPr>
          <w:sz w:val="40"/>
          <w:szCs w:val="40"/>
        </w:rPr>
        <w:t/>
      </w:r>
      <w:r w:rsidR="00D63A44">
        <w:rPr>
          <w:sz w:val="40"/>
          <w:szCs w:val="40"/>
        </w:rPr>
        <w:t/>
      </w:r>
    </w:p>
    <w:p w14:paraId="018E3AA0" w14:textId="486BAFDE" w:rsidR="006537F1" w:rsidRDefault="006537F1">
      <w:pPr>
        <w:rPr>
          <w:sz w:val="40"/>
          <w:szCs w:val="40"/>
        </w:rPr>
      </w:pPr>
      <w:r>
        <w:rPr>
          <w:sz w:val="40"/>
          <w:szCs w:val="40"/>
        </w:rPr>
        <w:br w:type="page"/>
      </w:r>
    </w:p>
    <w:p w14:paraId="6646A3C6" w14:textId="7E35F211" w:rsidR="006537F1" w:rsidRDefault="00350C22" w:rsidP="009F01B2">
      <w:pPr>
        <w:pStyle w:val="Heading1"/>
      </w:pPr>
      <w:r>
        <w:lastRenderedPageBreak/>
        <w:t>Executive Summary</w:t>
      </w:r>
    </w:p>
    <w:p w14:paraId="5F63A892" w14:textId="190C56F8" w:rsidR="00350C22" w:rsidRDefault="002333B1" w:rsidP="009F01B2">
      <w:pPr>
        <w:pStyle w:val="Heading2"/>
      </w:pPr>
      <w:r>
        <w:t>Introduction</w:t>
      </w:r>
    </w:p>
    <w:p w14:paraId="42626E45" w14:textId="7DC05426" w:rsidR="00131166" w:rsidRDefault="00136F71" w:rsidP="00131166">
      <w:pPr>
        <w:pStyle w:val="Heading2"/>
      </w:pPr>
      <w:r>
        <w:t>Exercise Objectives</w:t>
      </w:r>
    </w:p>
    <w:p w14:paraId="3FD008BD" w14:textId="56C86275" w:rsidR="00131166" w:rsidRPr="002566C5" w:rsidRDefault="00131166" w:rsidP="00131166">
      <w:r>
        <w:t xml:space="preserve">The primary objective of the exercise was to test the incident response plan for a ransomware attack. This included evaluating the team's ability to identify, classify, isolate, eradicate, and recover from the incident.</w:t>
      </w:r>
      <w:r>
        <w:br/>
      </w:r>
      <w:r>
        <w:t/>
      </w:r>
      <w:proofErr w:type="spellStart"/>
      <w:r>
        <w:t/>
      </w:r>
      <w:proofErr w:type="spellEnd"/>
      <w:r>
        <w:t/>
      </w:r>
    </w:p>
    <w:p w14:paraId="52558C0E" w14:textId="3435E13A" w:rsidR="002333B1" w:rsidRDefault="002333B1" w:rsidP="009F01B2">
      <w:pPr>
        <w:pStyle w:val="Heading2"/>
      </w:pPr>
      <w:r>
        <w:t>Participants</w:t>
      </w:r>
    </w:p>
    <w:p w14:paraId="57A377B1" w14:textId="332D69EE" w:rsidR="002566C5" w:rsidRDefault="002566C5" w:rsidP="002566C5">
      <w:r>
        <w:t>The following participants attended this exercise:</w:t>
      </w:r>
    </w:p>
    <w:p w14:paraId="3951F99B" w14:textId="49980023" w:rsidR="002566C5" w:rsidRPr="002566C5" w:rsidRDefault="00D63A44" w:rsidP="002566C5">
      <w:r>
        <w:t xml:space="preserve">The participants are the Chief Information Officer (CIO), the Chief Information Security Officer (CISO), and the IT Security Manager.</w:t>
      </w:r>
      <w:r>
        <w:br/>
      </w:r>
      <w:r>
        <w:t/>
      </w:r>
      <w:r w:rsidR="002B3BFA">
        <w:t/>
      </w:r>
      <w:r>
        <w:t/>
      </w:r>
    </w:p>
    <w:p w14:paraId="10554A8C" w14:textId="2C3A8AF2" w:rsidR="002333B1" w:rsidRDefault="009F01B2" w:rsidP="009F01B2">
      <w:pPr>
        <w:pStyle w:val="Heading2"/>
      </w:pPr>
      <w:r>
        <w:t>Exercise Summary</w:t>
      </w:r>
    </w:p>
    <w:p w14:paraId="5EAAC737" w14:textId="20550B7F" w:rsidR="002B3BFA" w:rsidRDefault="00D63A44" w:rsidP="002B3BFA">
      <w:r>
        <w:t xml:space="preserve">This tabletop exercise was conducted to test Colonial Pipeline's incident response capabilities in the event of a ransomware attack. The scenario was based on a sophisticated ransomware attack similar to the one experienced by Colonial Pipeline in May 2021, involving the hacker group DarkSide. The attackers gained access through a compromised VPN password and encrypted critical information, leading to operational disruptions. The exercise aimed to evaluate the team's response actions, including identification, containment, eradication, and recovery. Overall, the team demonstrated effective incident response capabilities, successfully isolating affected systems and restoring operations. However, there were areas for improvement, particularly in communication and coordination with external partners.</w:t>
      </w:r>
      <w:r>
        <w:br/>
      </w:r>
      <w:r>
        <w:t/>
      </w:r>
      <w:proofErr w:type="spellStart"/>
      <w:r w:rsidR="002B3BFA">
        <w:t/>
      </w:r>
      <w:proofErr w:type="spellEnd"/>
      <w:r>
        <w:t/>
      </w:r>
    </w:p>
    <w:p w14:paraId="3839B9B3" w14:textId="0665508E" w:rsidR="00136F71" w:rsidRDefault="00990262" w:rsidP="00136F71">
      <w:pPr>
        <w:pStyle w:val="Heading2"/>
      </w:pPr>
      <w:r>
        <w:t>Injects Used</w:t>
      </w:r>
    </w:p>
    <w:p w14:paraId="1995E9BD" w14:textId="12DB15BF" w:rsidR="00136F71" w:rsidRDefault="00136F71" w:rsidP="00136F71">
      <w:r>
        <w:t/>
      </w:r>
      <w:r>
        <w:br/>
      </w:r>
      <w:r>
        <w:t xml:space="preserve">The SCADA system controlling pipeline flow shows unexpected changes in pressure readings.</w:t>
      </w:r>
      <w:r>
        <w:br/>
      </w:r>
      <w:r>
        <w:t xml:space="preserve">An employee in the control room reports their screen is locked with a ransomware message.</w:t>
      </w:r>
      <w:r>
        <w:br/>
      </w:r>
      <w:r>
        <w:t xml:space="preserve">The billing system becomes inaccessible, potentially compromising customer data.</w:t>
      </w:r>
      <w:r>
        <w:br/>
      </w:r>
      <w:r>
        <w:t xml:space="preserve">Unusual remote access attempts are detected on the VPN used for pipeline monitoring.</w:t>
      </w:r>
      <w:r>
        <w:br/>
      </w:r>
      <w:r>
        <w:t/>
      </w:r>
      <w:r>
        <w:br/>
      </w:r>
      <w:r>
        <w:t/>
      </w:r>
      <w:r>
        <w:br/>
      </w:r>
      <w:r>
        <w:t/>
      </w:r>
      <w:proofErr w:type="spellStart"/>
      <w:r w:rsidR="00990262">
        <w:t/>
      </w:r>
      <w:proofErr w:type="spellEnd"/>
      <w:r>
        <w:t/>
      </w:r>
    </w:p>
    <w:p w14:paraId="6E52BE3B" w14:textId="46ACEB05" w:rsidR="00155285" w:rsidRDefault="00155285" w:rsidP="00155285">
      <w:pPr>
        <w:pStyle w:val="Heading1"/>
      </w:pPr>
      <w:r>
        <w:t>Exercise Results</w:t>
      </w:r>
    </w:p>
    <w:p w14:paraId="02BAE8F2" w14:textId="3A9B2E79" w:rsidR="00155285" w:rsidRDefault="00155285" w:rsidP="00155285">
      <w:pPr>
        <w:pStyle w:val="Heading2"/>
      </w:pPr>
      <w:r>
        <w:t>Exercise Score</w:t>
      </w:r>
    </w:p>
    <w:p w14:paraId="4436B83F" w14:textId="0ED5CDBE" w:rsidR="00155285" w:rsidRDefault="00D63A44" w:rsidP="002B3BFA">
      <w:r>
        <w:t xml:space="preserve">Score: 85 out of 100</w:t>
      </w:r>
      <w:r>
        <w:br/>
      </w:r>
      <w:r>
        <w:t/>
      </w:r>
      <w:proofErr w:type="spellStart"/>
      <w:r w:rsidR="00155285">
        <w:t/>
      </w:r>
      <w:proofErr w:type="spellEnd"/>
      <w:r>
        <w:t/>
      </w:r>
    </w:p>
    <w:p w14:paraId="706652D2" w14:textId="3A981B3D" w:rsidR="00155285" w:rsidRDefault="00155285" w:rsidP="00155285">
      <w:pPr>
        <w:pStyle w:val="Heading2"/>
      </w:pPr>
      <w:r>
        <w:t>Analysis Summary</w:t>
      </w:r>
    </w:p>
    <w:p w14:paraId="254E8AE0" w14:textId="066C75D5" w:rsidR="00155285" w:rsidRDefault="00D63A44" w:rsidP="002B3BFA">
      <w:r>
        <w:t xml:space="preserve">The team effectively activated the incident response plan, notified key personnel, and isolated compromised systems. The SCADA system was brought back online with minimal disruption, and the team engaged external consultants for expert assistance. Communication with stakeholders and regulatory authorities was initiated, and insurance claims were submitted. However, there were delays in determining the initial compromise point and in coordinating with external partners for a comprehensive review. The exercise highlighted the need for improved communication strategies and regular tabletop exercises to enhance readiness.</w:t>
      </w:r>
      <w:r>
        <w:br/>
      </w:r>
      <w:r>
        <w:t/>
      </w:r>
      <w:proofErr w:type="spellStart"/>
      <w:r w:rsidR="00155285">
        <w:t/>
      </w:r>
      <w:proofErr w:type="spellEnd"/>
      <w:r>
        <w:t/>
      </w:r>
    </w:p>
    <w:p w14:paraId="3A56C25E" w14:textId="5F47D0A2" w:rsidR="004E237C" w:rsidRDefault="004E237C" w:rsidP="004E237C">
      <w:pPr>
        <w:pStyle w:val="Heading2"/>
      </w:pPr>
      <w:r>
        <w:t>Positive/Successful Actions</w:t>
      </w:r>
    </w:p>
    <w:p w14:paraId="7DBD101A" w14:textId="7A37C3DF" w:rsidR="004E237C" w:rsidRDefault="00D63A44" w:rsidP="002B3BFA">
      <w:r>
        <w:t/>
      </w:r>
      <w:r>
        <w:br/>
      </w:r>
      <w:r>
        <w:t xml:space="preserve">Prompt activation of the incident response plan.</w:t>
      </w:r>
      <w:r>
        <w:br/>
      </w:r>
      <w:r>
        <w:t xml:space="preserve">Effective isolation of compromised systems.</w:t>
      </w:r>
      <w:r>
        <w:br/>
      </w:r>
      <w:r>
        <w:t xml:space="preserve">Successful restoration of SCADA and control room operations.</w:t>
      </w:r>
      <w:r>
        <w:br/>
      </w:r>
      <w:r>
        <w:t xml:space="preserve">Engagement with external consultants for expert assistance.</w:t>
      </w:r>
      <w:r>
        <w:br/>
      </w:r>
      <w:r>
        <w:t xml:space="preserve">Submission of insurance claims and SEC 8-K disclosure.</w:t>
      </w:r>
      <w:r>
        <w:br/>
      </w:r>
      <w:r>
        <w:t/>
      </w:r>
      <w:r>
        <w:br/>
      </w:r>
      <w:r>
        <w:t/>
      </w:r>
      <w:proofErr w:type="spellStart"/>
      <w:r w:rsidR="004E237C">
        <w:t/>
      </w:r>
      <w:proofErr w:type="spellEnd"/>
      <w:r>
        <w:t/>
      </w:r>
    </w:p>
    <w:p w14:paraId="191B8961" w14:textId="3BE41471" w:rsidR="004E237C" w:rsidRDefault="004E237C" w:rsidP="004E237C">
      <w:pPr>
        <w:pStyle w:val="Heading2"/>
      </w:pPr>
      <w:r>
        <w:t>Areas for Improvement</w:t>
      </w:r>
    </w:p>
    <w:p w14:paraId="3762A329" w14:textId="7AFDBC09" w:rsidR="004E237C" w:rsidRDefault="00D63A44" w:rsidP="002B3BFA">
      <w:r>
        <w:t/>
      </w:r>
      <w:r>
        <w:br/>
      </w:r>
      <w:r>
        <w:t xml:space="preserve">Delays in determining the initial compromise point.</w:t>
      </w:r>
      <w:r>
        <w:br/>
      </w:r>
      <w:r>
        <w:t xml:space="preserve">Need for improved coordination with external partners and regulatory authorities.</w:t>
      </w:r>
      <w:r>
        <w:br/>
      </w:r>
      <w:r>
        <w:t xml:space="preserve">Enhancement of communication strategies with stakeholders.</w:t>
      </w:r>
      <w:r>
        <w:br/>
      </w:r>
      <w:r>
        <w:t xml:space="preserve">Regular tabletop exercises to test and improve incident response capabilities.</w:t>
      </w:r>
      <w:r>
        <w:br/>
      </w:r>
      <w:r>
        <w:t/>
      </w:r>
      <w:r>
        <w:br/>
      </w:r>
      <w:r>
        <w:t/>
      </w:r>
      <w:proofErr w:type="spellStart"/>
      <w:r w:rsidR="004E237C">
        <w:t/>
      </w:r>
      <w:proofErr w:type="spellEnd"/>
      <w:r w:rsidR="004E237C">
        <w:t/>
      </w:r>
    </w:p>
    <w:p w14:paraId="5BCD4206" w14:textId="77777777" w:rsidR="00273813" w:rsidRDefault="00273813" w:rsidP="00273813">
      <w:pPr>
        <w:pStyle w:val="Heading2"/>
      </w:pPr>
      <w:r>
        <w:t>Incident Cost Breakdown</w:t>
      </w:r>
    </w:p>
    <w:p w14:paraId="6C6AC0C3" w14:textId="77777777" w:rsidR="00273813" w:rsidRDefault="00273813" w:rsidP="00273813">
      <w:r>
        <w:t/>
      </w:r>
      <w:r>
        <w:br/>
      </w:r>
      <w:r>
        <w:t xml:space="preserve">Internal team efforts and resource allocation: $300,000</w:t>
      </w:r>
      <w:r>
        <w:br/>
      </w:r>
      <w:r>
        <w:t xml:space="preserve">External consulting fees (Mandiant): $400,000</w:t>
      </w:r>
      <w:r>
        <w:br/>
      </w:r>
      <w:r>
        <w:t xml:space="preserve">System restoration and security enhancements: $200,000</w:t>
      </w:r>
      <w:r>
        <w:br/>
      </w:r>
      <w:r>
        <w:t xml:space="preserve">Customer compensation and communication efforts: $300,000</w:t>
      </w:r>
      <w:r>
        <w:br/>
      </w:r>
      <w:r>
        <w:t xml:space="preserve">Total Cost: $1,200,000</w:t>
      </w:r>
      <w:r>
        <w:br/>
      </w:r>
      <w:r>
        <w:t/>
      </w:r>
      <w:r>
        <w:br/>
      </w:r>
      <w:r>
        <w:t/>
      </w:r>
      <w:proofErr w:type="spellStart"/>
      <w:r>
        <w:t/>
      </w:r>
      <w:proofErr w:type="spellEnd"/>
      <w:r>
        <w:t/>
      </w:r>
    </w:p>
    <w:p w14:paraId="7A260740" w14:textId="35434E70" w:rsidR="004E237C" w:rsidRDefault="004E237C" w:rsidP="004E237C">
      <w:pPr>
        <w:pStyle w:val="Heading2"/>
      </w:pPr>
      <w:r>
        <w:t>Score Deductions</w:t>
      </w:r>
    </w:p>
    <w:p w14:paraId="0CCFC234" w14:textId="36AD2604" w:rsidR="004E237C" w:rsidRDefault="00D63A44" w:rsidP="002B3BFA">
      <w:r>
        <w:t/>
      </w:r>
      <w:r>
        <w:br/>
      </w:r>
      <w:r>
        <w:t xml:space="preserve">Delays in determining the initial compromise point: -5 points</w:t>
      </w:r>
      <w:r>
        <w:br/>
      </w:r>
      <w:r>
        <w:t xml:space="preserve">Need for improved coordination with external partners: -5 points</w:t>
      </w:r>
      <w:r>
        <w:br/>
      </w:r>
      <w:r>
        <w:t xml:space="preserve">Enhancement of communication strategies: -5 points</w:t>
      </w:r>
      <w:r>
        <w:br/>
      </w:r>
      <w:r>
        <w:t/>
      </w:r>
      <w:r>
        <w:br/>
      </w:r>
      <w:r>
        <w:t/>
      </w:r>
      <w:proofErr w:type="spellStart"/>
      <w:r w:rsidR="004E237C">
        <w:t/>
      </w:r>
      <w:proofErr w:type="spellEnd"/>
      <w:r>
        <w:t/>
      </w:r>
    </w:p>
    <w:p w14:paraId="0B2E10FD" w14:textId="6A684AE0" w:rsidR="004E237C" w:rsidRDefault="004E237C" w:rsidP="004E237C">
      <w:pPr>
        <w:pStyle w:val="Heading2"/>
      </w:pPr>
      <w:proofErr w:type="spellStart"/>
      <w:r w:rsidRPr="004E237C">
        <w:lastRenderedPageBreak/>
        <w:t>Mitre</w:t>
      </w:r>
      <w:proofErr w:type="spellEnd"/>
      <w:r w:rsidRPr="004E237C">
        <w:t xml:space="preserve"> ATT&amp;CK </w:t>
      </w:r>
      <w:r>
        <w:t>TTPs Used by the Threat</w:t>
      </w:r>
    </w:p>
    <w:p w14:paraId="29B273BA" w14:textId="0AD42E82" w:rsidR="004E237C" w:rsidRDefault="00D63A44" w:rsidP="002B3BFA">
      <w:r>
        <w:t xml:space="preserve">The scenario was based on the DarkSide ransomware attack, which involved the following techniques:</w:t>
      </w:r>
      <w:r>
        <w:br/>
      </w:r>
      <w:r>
        <w:t/>
      </w:r>
      <w:r>
        <w:br/>
      </w:r>
      <w:r>
        <w:t xml:space="preserve">Initial Access: Compromised VPN credentials (T1078)</w:t>
      </w:r>
      <w:r>
        <w:br/>
      </w:r>
      <w:r>
        <w:t xml:space="preserve">Execution: Ransomware execution on IT systems (T1486)</w:t>
      </w:r>
      <w:r>
        <w:br/>
      </w:r>
      <w:r>
        <w:t xml:space="preserve">Persistence: Use of compromised accounts (T1078)</w:t>
      </w:r>
      <w:r>
        <w:br/>
      </w:r>
      <w:r>
        <w:t xml:space="preserve">Lateral Movement: Unauthorized access to network resources (T1021)</w:t>
      </w:r>
      <w:r>
        <w:br/>
      </w:r>
      <w:r>
        <w:t xml:space="preserve">Impact: Data encryption and operational disruption (T1486)</w:t>
      </w:r>
      <w:r>
        <w:br/>
      </w:r>
      <w:r>
        <w:t/>
      </w:r>
      <w:r>
        <w:br/>
      </w:r>
      <w:r>
        <w:t/>
      </w:r>
      <w:proofErr w:type="spellStart"/>
      <w:r w:rsidR="004E237C">
        <w:t/>
      </w:r>
      <w:proofErr w:type="spellEnd"/>
      <w:r>
        <w:t/>
      </w:r>
    </w:p>
    <w:p w14:paraId="2054FD46" w14:textId="14BB23CC" w:rsidR="004E237C" w:rsidRDefault="004E237C" w:rsidP="001372E0">
      <w:pPr>
        <w:pStyle w:val="Heading1"/>
      </w:pPr>
      <w:r>
        <w:t>IR Plan Review</w:t>
      </w:r>
    </w:p>
    <w:p w14:paraId="026279FC" w14:textId="349AD025" w:rsidR="001372E0" w:rsidRDefault="001372E0" w:rsidP="001372E0">
      <w:pPr>
        <w:pStyle w:val="Heading2"/>
      </w:pPr>
      <w:r>
        <w:t>IR Team Performance</w:t>
      </w:r>
    </w:p>
    <w:p w14:paraId="7477419C" w14:textId="3603D603" w:rsidR="001372E0" w:rsidRPr="001372E0" w:rsidRDefault="001372E0" w:rsidP="001372E0">
      <w:r>
        <w:t xml:space="preserve">An IR plan was not provided for this exercise.</w:t>
      </w:r>
      <w:r>
        <w:br/>
      </w:r>
      <w:r>
        <w:t/>
      </w:r>
      <w:proofErr w:type="spellStart"/>
      <w:r>
        <w:t/>
      </w:r>
      <w:proofErr w:type="spellEnd"/>
      <w:r w:rsidR="00D63A44">
        <w:t/>
      </w:r>
    </w:p>
    <w:p w14:paraId="7B47952D" w14:textId="04B08171" w:rsidR="001372E0" w:rsidRPr="001372E0" w:rsidRDefault="001372E0" w:rsidP="001372E0">
      <w:pPr>
        <w:pStyle w:val="Heading2"/>
      </w:pPr>
      <w:r>
        <w:t>IR Plan Gap Assessment</w:t>
      </w:r>
    </w:p>
    <w:p w14:paraId="7579BA28" w14:textId="4D40414F" w:rsidR="004E237C" w:rsidRPr="002B3BFA" w:rsidRDefault="004E237C" w:rsidP="002B3BFA">
      <w:r>
        <w:t xml:space="preserve">An IR plan was not provided for this exercise.</w:t>
      </w:r>
      <w:r>
        <w:br/>
      </w:r>
      <w:r>
        <w:t xml:space="preserve">Please let me know if you have any further questions or need additional clarification on the exercise results.</w:t>
      </w:r>
      <w:r>
        <w:br/>
      </w:r>
      <w:r>
        <w:t/>
      </w:r>
      <w:proofErr w:type="spellStart"/>
      <w:r>
        <w:t/>
      </w:r>
      <w:r w:rsidR="001372E0">
        <w:t/>
      </w:r>
      <w:proofErr w:type="spellEnd"/>
      <w:r w:rsidR="00D63A44">
        <w:t/>
      </w:r>
    </w:p>
    <w:p w14:paraId="581002EB" w14:textId="77777777" w:rsidR="009F01B2" w:rsidRDefault="009F01B2" w:rsidP="006537F1"/>
    <w:p w14:paraId="29F77106" w14:textId="77777777" w:rsidR="009F01B2" w:rsidRPr="003E3814" w:rsidRDefault="009F01B2" w:rsidP="006537F1"/>
    <w:sectPr w:rsidR="009F01B2" w:rsidRPr="003E3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E41"/>
    <w:rsid w:val="0001301F"/>
    <w:rsid w:val="00131166"/>
    <w:rsid w:val="00136F71"/>
    <w:rsid w:val="001372E0"/>
    <w:rsid w:val="00142D60"/>
    <w:rsid w:val="00155285"/>
    <w:rsid w:val="001A2DD7"/>
    <w:rsid w:val="001B2E41"/>
    <w:rsid w:val="002333B1"/>
    <w:rsid w:val="00242147"/>
    <w:rsid w:val="002566C5"/>
    <w:rsid w:val="00273813"/>
    <w:rsid w:val="002B3BFA"/>
    <w:rsid w:val="00350C22"/>
    <w:rsid w:val="003E3814"/>
    <w:rsid w:val="004563EE"/>
    <w:rsid w:val="004E237C"/>
    <w:rsid w:val="004E3289"/>
    <w:rsid w:val="00515A04"/>
    <w:rsid w:val="006537F1"/>
    <w:rsid w:val="00714712"/>
    <w:rsid w:val="00990262"/>
    <w:rsid w:val="009F01B2"/>
    <w:rsid w:val="00A06963"/>
    <w:rsid w:val="00A07056"/>
    <w:rsid w:val="00A755AE"/>
    <w:rsid w:val="00A85A31"/>
    <w:rsid w:val="00AB4DEE"/>
    <w:rsid w:val="00B10AF5"/>
    <w:rsid w:val="00C5392F"/>
    <w:rsid w:val="00C86232"/>
    <w:rsid w:val="00D63A44"/>
    <w:rsid w:val="00E95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5661F"/>
  <w15:chartTrackingRefBased/>
  <w15:docId w15:val="{F18CD7A0-2497-4157-8759-0D3766445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2E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B2E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2E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2E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2E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2E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E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E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E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E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B2E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2E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2E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2E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2E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E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E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E41"/>
    <w:rPr>
      <w:rFonts w:eastAsiaTheme="majorEastAsia" w:cstheme="majorBidi"/>
      <w:color w:val="272727" w:themeColor="text1" w:themeTint="D8"/>
    </w:rPr>
  </w:style>
  <w:style w:type="paragraph" w:styleId="Title">
    <w:name w:val="Title"/>
    <w:basedOn w:val="Normal"/>
    <w:next w:val="Normal"/>
    <w:link w:val="TitleChar"/>
    <w:uiPriority w:val="10"/>
    <w:qFormat/>
    <w:rsid w:val="001B2E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E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E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E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E41"/>
    <w:pPr>
      <w:spacing w:before="160"/>
      <w:jc w:val="center"/>
    </w:pPr>
    <w:rPr>
      <w:i/>
      <w:iCs/>
      <w:color w:val="404040" w:themeColor="text1" w:themeTint="BF"/>
    </w:rPr>
  </w:style>
  <w:style w:type="character" w:customStyle="1" w:styleId="QuoteChar">
    <w:name w:val="Quote Char"/>
    <w:basedOn w:val="DefaultParagraphFont"/>
    <w:link w:val="Quote"/>
    <w:uiPriority w:val="29"/>
    <w:rsid w:val="001B2E41"/>
    <w:rPr>
      <w:i/>
      <w:iCs/>
      <w:color w:val="404040" w:themeColor="text1" w:themeTint="BF"/>
    </w:rPr>
  </w:style>
  <w:style w:type="paragraph" w:styleId="ListParagraph">
    <w:name w:val="List Paragraph"/>
    <w:basedOn w:val="Normal"/>
    <w:uiPriority w:val="34"/>
    <w:qFormat/>
    <w:rsid w:val="001B2E41"/>
    <w:pPr>
      <w:ind w:left="720"/>
      <w:contextualSpacing/>
    </w:pPr>
  </w:style>
  <w:style w:type="character" w:styleId="IntenseEmphasis">
    <w:name w:val="Intense Emphasis"/>
    <w:basedOn w:val="DefaultParagraphFont"/>
    <w:uiPriority w:val="21"/>
    <w:qFormat/>
    <w:rsid w:val="001B2E41"/>
    <w:rPr>
      <w:i/>
      <w:iCs/>
      <w:color w:val="0F4761" w:themeColor="accent1" w:themeShade="BF"/>
    </w:rPr>
  </w:style>
  <w:style w:type="paragraph" w:styleId="IntenseQuote">
    <w:name w:val="Intense Quote"/>
    <w:basedOn w:val="Normal"/>
    <w:next w:val="Normal"/>
    <w:link w:val="IntenseQuoteChar"/>
    <w:uiPriority w:val="30"/>
    <w:qFormat/>
    <w:rsid w:val="001B2E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2E41"/>
    <w:rPr>
      <w:i/>
      <w:iCs/>
      <w:color w:val="0F4761" w:themeColor="accent1" w:themeShade="BF"/>
    </w:rPr>
  </w:style>
  <w:style w:type="character" w:styleId="IntenseReference">
    <w:name w:val="Intense Reference"/>
    <w:basedOn w:val="DefaultParagraphFont"/>
    <w:uiPriority w:val="32"/>
    <w:qFormat/>
    <w:rsid w:val="001B2E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68FE79FB4F7A41BFD9AB02BC996178" ma:contentTypeVersion="16" ma:contentTypeDescription="Create a new document." ma:contentTypeScope="" ma:versionID="548cfad2cc87aee46f098038913e6f9b">
  <xsd:schema xmlns:xsd="http://www.w3.org/2001/XMLSchema" xmlns:xs="http://www.w3.org/2001/XMLSchema" xmlns:p="http://schemas.microsoft.com/office/2006/metadata/properties" xmlns:ns2="f42a2407-d498-43b1-8db4-3d294040243d" xmlns:ns3="4794f38e-6d3d-4f14-b726-0054c145e489" targetNamespace="http://schemas.microsoft.com/office/2006/metadata/properties" ma:root="true" ma:fieldsID="9747332fad9df40b76c6335f6c693dd7" ns2:_="" ns3:_="">
    <xsd:import namespace="f42a2407-d498-43b1-8db4-3d294040243d"/>
    <xsd:import namespace="4794f38e-6d3d-4f14-b726-0054c145e4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a2407-d498-43b1-8db4-3d2940402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e7a6960-3a1b-43d8-812f-adf39d30b3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94f38e-6d3d-4f14-b726-0054c145e4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2aaacb-61fa-4b1b-a256-5377d2ae4ef0}" ma:internalName="TaxCatchAll" ma:showField="CatchAllData" ma:web="4794f38e-6d3d-4f14-b726-0054c145e4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2a2407-d498-43b1-8db4-3d294040243d">
      <Terms xmlns="http://schemas.microsoft.com/office/infopath/2007/PartnerControls"/>
    </lcf76f155ced4ddcb4097134ff3c332f>
    <TaxCatchAll xmlns="4794f38e-6d3d-4f14-b726-0054c145e4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9274D8-76B0-4FF6-8367-A7E72EDD088A}"/>
</file>

<file path=customXml/itemProps2.xml><?xml version="1.0" encoding="utf-8"?>
<ds:datastoreItem xmlns:ds="http://schemas.openxmlformats.org/officeDocument/2006/customXml" ds:itemID="{038721EF-BD31-462A-A5DE-C734831966B3}">
  <ds:schemaRefs>
    <ds:schemaRef ds:uri="http://schemas.microsoft.com/office/2006/metadata/properties"/>
    <ds:schemaRef ds:uri="http://schemas.microsoft.com/office/infopath/2007/PartnerControls"/>
    <ds:schemaRef ds:uri="35d510d4-dbe7-49ef-99a2-f56176fe27f8"/>
    <ds:schemaRef ds:uri="2785a84e-8315-42cb-96a0-53a0fd534cc3"/>
  </ds:schemaRefs>
</ds:datastoreItem>
</file>

<file path=customXml/itemProps3.xml><?xml version="1.0" encoding="utf-8"?>
<ds:datastoreItem xmlns:ds="http://schemas.openxmlformats.org/officeDocument/2006/customXml" ds:itemID="{3FCAE007-08BA-4D10-A001-981B39EF84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 Bodungen</dc:creator>
  <cp:keywords/>
  <dc:description/>
  <cp:lastModifiedBy>Clint Bodungen</cp:lastModifiedBy>
  <cp:revision>26</cp:revision>
  <dcterms:created xsi:type="dcterms:W3CDTF">2024-05-12T15:08:00Z</dcterms:created>
  <dcterms:modified xsi:type="dcterms:W3CDTF">2024-06-09T16:18:00Z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0x0101007408006F61B0964983983A6DCBC405FC</vt:lpwstr>
  </property>
  <property fmtid="{D5CDD505-2E9C-101B-9397-08002B2CF9AE}" pid="3" name="MediaServiceImageTags">
    <vt:lpwstr/>
  </property>
</Properties>
</file>